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55D" w:rsidRPr="004807CC" w:rsidRDefault="00A8655D" w:rsidP="00A8655D">
      <w:pPr>
        <w:pStyle w:val="Nzev"/>
        <w:rPr>
          <w:rFonts w:eastAsia="Cambria" w:cs="Calibri"/>
          <w:kern w:val="0"/>
          <w:szCs w:val="48"/>
        </w:rPr>
      </w:pPr>
      <w:r w:rsidRPr="004807CC">
        <w:rPr>
          <w:rFonts w:eastAsia="Cambria" w:cs="Calibri"/>
          <w:noProof/>
          <w:kern w:val="0"/>
          <w:szCs w:val="48"/>
          <w:lang w:eastAsia="cs-CZ"/>
        </w:rPr>
        <w:drawing>
          <wp:inline distT="0" distB="0" distL="0" distR="0">
            <wp:extent cx="5972175" cy="5429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55D" w:rsidRPr="004807CC" w:rsidRDefault="00A8655D" w:rsidP="00A8655D">
      <w:pPr>
        <w:pStyle w:val="Nzev"/>
        <w:rPr>
          <w:rFonts w:eastAsia="Cambria" w:cs="Calibri"/>
          <w:kern w:val="0"/>
          <w:szCs w:val="48"/>
        </w:rPr>
      </w:pPr>
    </w:p>
    <w:p w:rsidR="00A8655D" w:rsidRPr="004807CC" w:rsidRDefault="00A8655D" w:rsidP="00A8655D">
      <w:pPr>
        <w:pStyle w:val="Nzev"/>
        <w:rPr>
          <w:rFonts w:eastAsia="Cambria" w:cs="Calibri"/>
          <w:kern w:val="0"/>
          <w:szCs w:val="48"/>
        </w:rPr>
      </w:pPr>
    </w:p>
    <w:p w:rsidR="00A8655D" w:rsidRPr="004807CC" w:rsidRDefault="00A8655D" w:rsidP="00A8655D">
      <w:pPr>
        <w:pStyle w:val="Podnadpis"/>
        <w:rPr>
          <w:rFonts w:eastAsia="Cambria"/>
          <w:kern w:val="0"/>
        </w:rPr>
      </w:pPr>
      <w:bookmarkStart w:id="0" w:name="_Toc434408068"/>
      <w:bookmarkStart w:id="1" w:name="_Toc440046431"/>
      <w:bookmarkStart w:id="2" w:name="_Toc11156047"/>
      <w:r w:rsidRPr="004807CC">
        <w:rPr>
          <w:rFonts w:eastAsia="Cambria"/>
          <w:kern w:val="0"/>
        </w:rPr>
        <w:t>Strategie komunitně vedeného místního rozvoje</w:t>
      </w:r>
      <w:bookmarkEnd w:id="0"/>
      <w:bookmarkEnd w:id="1"/>
      <w:bookmarkEnd w:id="2"/>
    </w:p>
    <w:p w:rsidR="00A8655D" w:rsidRPr="004807CC" w:rsidRDefault="00A8655D" w:rsidP="00A8655D">
      <w:pPr>
        <w:pStyle w:val="Podnadpis"/>
      </w:pPr>
    </w:p>
    <w:p w:rsidR="00A8655D" w:rsidRPr="004807CC" w:rsidRDefault="00A8655D" w:rsidP="00A8655D">
      <w:pPr>
        <w:pStyle w:val="Podnadpis"/>
        <w:rPr>
          <w:b/>
        </w:rPr>
      </w:pPr>
      <w:bookmarkStart w:id="3" w:name="_Toc384909628"/>
      <w:bookmarkStart w:id="4" w:name="_Toc385286322"/>
      <w:bookmarkStart w:id="5" w:name="_Toc385288170"/>
      <w:bookmarkStart w:id="6" w:name="_Toc385447859"/>
      <w:bookmarkStart w:id="7" w:name="_Toc434408069"/>
      <w:bookmarkStart w:id="8" w:name="_Toc440046432"/>
      <w:bookmarkStart w:id="9" w:name="_Toc11156048"/>
      <w:r w:rsidRPr="004807CC">
        <w:rPr>
          <w:b/>
        </w:rPr>
        <w:t xml:space="preserve">MAS </w:t>
      </w:r>
      <w:bookmarkEnd w:id="3"/>
      <w:bookmarkEnd w:id="4"/>
      <w:bookmarkEnd w:id="5"/>
      <w:bookmarkEnd w:id="6"/>
      <w:r w:rsidRPr="004807CC">
        <w:rPr>
          <w:b/>
        </w:rPr>
        <w:t>Brána Vysočiny</w:t>
      </w:r>
      <w:bookmarkEnd w:id="7"/>
      <w:bookmarkEnd w:id="8"/>
      <w:bookmarkEnd w:id="9"/>
    </w:p>
    <w:p w:rsidR="00A8655D" w:rsidRPr="004807CC" w:rsidRDefault="00A8655D" w:rsidP="00A8655D">
      <w:pPr>
        <w:rPr>
          <w:rFonts w:cs="Calibri"/>
          <w:b/>
          <w:bCs/>
        </w:rPr>
      </w:pPr>
    </w:p>
    <w:p w:rsidR="00A8655D" w:rsidRPr="004807CC" w:rsidRDefault="00A8655D" w:rsidP="00A8655D">
      <w:pPr>
        <w:pStyle w:val="Podnadpis"/>
      </w:pPr>
      <w:r>
        <w:t>Dodatek SCLLD č. 1 – změny IROP</w:t>
      </w:r>
    </w:p>
    <w:p w:rsidR="00A8655D" w:rsidRPr="004807CC" w:rsidRDefault="00A8655D" w:rsidP="00A8655D">
      <w:pPr>
        <w:rPr>
          <w:rFonts w:cs="Calibri"/>
          <w:b/>
          <w:bCs/>
        </w:rPr>
      </w:pPr>
    </w:p>
    <w:p w:rsidR="00A8655D" w:rsidRPr="004807CC" w:rsidRDefault="00A8655D" w:rsidP="00A8655D">
      <w:pPr>
        <w:rPr>
          <w:rFonts w:cs="Calibri"/>
          <w:b/>
          <w:bCs/>
        </w:rPr>
      </w:pPr>
    </w:p>
    <w:p w:rsidR="00A8655D" w:rsidRPr="004807CC" w:rsidRDefault="00A8655D" w:rsidP="00A8655D">
      <w:pPr>
        <w:rPr>
          <w:rFonts w:cs="Calibri"/>
          <w:b/>
          <w:bCs/>
        </w:rPr>
      </w:pPr>
    </w:p>
    <w:p w:rsidR="00A8655D" w:rsidRPr="004807CC" w:rsidRDefault="00A8655D" w:rsidP="00A8655D">
      <w:pPr>
        <w:rPr>
          <w:rFonts w:cs="Calibri"/>
          <w:b/>
          <w:bCs/>
        </w:rPr>
      </w:pPr>
    </w:p>
    <w:p w:rsidR="00A8655D" w:rsidRPr="004807CC" w:rsidRDefault="00A8655D" w:rsidP="00A8655D">
      <w:pPr>
        <w:rPr>
          <w:rFonts w:cs="Calibri"/>
          <w:b/>
          <w:bCs/>
        </w:rPr>
      </w:pPr>
    </w:p>
    <w:p w:rsidR="00A8655D" w:rsidRPr="004807CC" w:rsidRDefault="00A8655D" w:rsidP="00A8655D">
      <w:pPr>
        <w:rPr>
          <w:rFonts w:cs="Calibri"/>
          <w:b/>
          <w:bCs/>
        </w:rPr>
      </w:pPr>
    </w:p>
    <w:p w:rsidR="00A8655D" w:rsidRPr="004807CC" w:rsidRDefault="00A8655D" w:rsidP="00A8655D">
      <w:pPr>
        <w:rPr>
          <w:rFonts w:cs="Calibri"/>
          <w:b/>
          <w:bCs/>
        </w:rPr>
      </w:pPr>
    </w:p>
    <w:p w:rsidR="00A8655D" w:rsidRPr="004807CC" w:rsidRDefault="00A8655D" w:rsidP="00A8655D">
      <w:pPr>
        <w:rPr>
          <w:rFonts w:cs="Calibri"/>
          <w:b/>
          <w:bCs/>
        </w:rPr>
      </w:pPr>
    </w:p>
    <w:p w:rsidR="00A8655D" w:rsidRPr="004807CC" w:rsidRDefault="00A8655D" w:rsidP="00A8655D">
      <w:pPr>
        <w:rPr>
          <w:rFonts w:cs="Calibri"/>
          <w:b/>
          <w:bCs/>
        </w:rPr>
      </w:pPr>
    </w:p>
    <w:p w:rsidR="00A8655D" w:rsidRPr="004807CC" w:rsidRDefault="00A8655D" w:rsidP="00A8655D">
      <w:pPr>
        <w:rPr>
          <w:rFonts w:cs="Calibri"/>
          <w:bCs/>
        </w:rPr>
      </w:pPr>
      <w:r w:rsidRPr="004807CC">
        <w:rPr>
          <w:rFonts w:cs="Calibri"/>
          <w:b/>
          <w:bCs/>
        </w:rPr>
        <w:t>Zpracovatel:</w:t>
      </w:r>
      <w:r w:rsidRPr="004807CC">
        <w:rPr>
          <w:rFonts w:cs="Calibri"/>
          <w:b/>
          <w:bCs/>
        </w:rPr>
        <w:tab/>
      </w:r>
      <w:r w:rsidRPr="004807CC">
        <w:rPr>
          <w:rFonts w:cs="Calibri"/>
          <w:b/>
          <w:bCs/>
        </w:rPr>
        <w:tab/>
      </w:r>
      <w:r w:rsidRPr="004807CC">
        <w:rPr>
          <w:rFonts w:cs="Calibri"/>
          <w:bCs/>
        </w:rPr>
        <w:t xml:space="preserve">MAS Brána Vysočiny, </w:t>
      </w:r>
      <w:proofErr w:type="spellStart"/>
      <w:r w:rsidRPr="004807CC">
        <w:rPr>
          <w:rFonts w:cs="Calibri"/>
          <w:bCs/>
        </w:rPr>
        <w:t>o.s</w:t>
      </w:r>
      <w:proofErr w:type="spellEnd"/>
      <w:r w:rsidRPr="004807CC">
        <w:rPr>
          <w:rFonts w:cs="Calibri"/>
          <w:bCs/>
        </w:rPr>
        <w:t>., Náměstí Míru 111, 666 01 Tišnov</w:t>
      </w:r>
    </w:p>
    <w:p w:rsidR="00A8655D" w:rsidRPr="004807CC" w:rsidRDefault="00A8655D" w:rsidP="00A8655D">
      <w:pPr>
        <w:ind w:left="1416" w:firstLine="708"/>
        <w:rPr>
          <w:rFonts w:cs="Arial"/>
          <w:sz w:val="24"/>
        </w:rPr>
      </w:pPr>
      <w:r w:rsidRPr="004807CC">
        <w:rPr>
          <w:rFonts w:cs="Arial"/>
          <w:sz w:val="24"/>
        </w:rPr>
        <w:t>SPF Group, s.r.o., Bozděchova 99/6, 400 01 Ústí nad Labem</w:t>
      </w:r>
    </w:p>
    <w:p w:rsidR="00A8655D" w:rsidRPr="004807CC" w:rsidRDefault="00A8655D" w:rsidP="00A8655D">
      <w:pPr>
        <w:rPr>
          <w:rFonts w:cs="Calibri"/>
          <w:b/>
        </w:rPr>
      </w:pPr>
    </w:p>
    <w:p w:rsidR="00A8655D" w:rsidRDefault="00A8655D" w:rsidP="00A8655D">
      <w:pPr>
        <w:rPr>
          <w:rFonts w:cs="Calibri"/>
          <w:b/>
        </w:rPr>
      </w:pPr>
    </w:p>
    <w:p w:rsidR="00A8655D" w:rsidRPr="004807CC" w:rsidRDefault="00A8655D" w:rsidP="00A8655D">
      <w:pPr>
        <w:rPr>
          <w:rFonts w:cs="Calibri"/>
        </w:rPr>
      </w:pPr>
      <w:r w:rsidRPr="004807CC">
        <w:rPr>
          <w:rFonts w:cs="Calibri"/>
          <w:b/>
        </w:rPr>
        <w:t>Datum zpracování:</w:t>
      </w:r>
      <w:r w:rsidRPr="004807CC">
        <w:rPr>
          <w:rFonts w:cs="Calibri"/>
        </w:rPr>
        <w:tab/>
        <w:t>červen</w:t>
      </w:r>
      <w:r>
        <w:rPr>
          <w:rFonts w:cs="Calibri"/>
        </w:rPr>
        <w:t>ec</w:t>
      </w:r>
      <w:r w:rsidRPr="004807CC">
        <w:rPr>
          <w:rFonts w:cs="Calibri"/>
        </w:rPr>
        <w:t xml:space="preserve"> </w:t>
      </w:r>
      <w:r>
        <w:rPr>
          <w:rFonts w:cs="Calibri"/>
        </w:rPr>
        <w:t>2019</w:t>
      </w:r>
    </w:p>
    <w:p w:rsidR="00A8655D" w:rsidRDefault="00A8655D">
      <w:pPr>
        <w:suppressAutoHyphens w:val="0"/>
        <w:spacing w:before="0" w:line="276" w:lineRule="auto"/>
        <w:jc w:val="left"/>
      </w:pPr>
      <w:r>
        <w:br w:type="page"/>
      </w:r>
    </w:p>
    <w:p w:rsidR="006B70E4" w:rsidRDefault="00A8655D" w:rsidP="00A8655D">
      <w:pPr>
        <w:pStyle w:val="Nadpis1"/>
      </w:pPr>
      <w:r>
        <w:lastRenderedPageBreak/>
        <w:t>Přehled změn</w:t>
      </w:r>
    </w:p>
    <w:p w:rsidR="00A8655D" w:rsidRDefault="00A8655D">
      <w:r>
        <w:t>Programový rámec IROP byl zachován beze změn.</w:t>
      </w:r>
    </w:p>
    <w:p w:rsidR="00A8655D" w:rsidRDefault="00A8655D">
      <w:r>
        <w:t xml:space="preserve">Jediné změny relevantní pro IROP byly provedeny ve finančním plánu a v cílových hodnotách monitorovacích indikátorů (včetně příslušných odůvodnění stanovení cílových hodnot indikátorů). Ve finančním plánu byly provedeny změny skutečného či plánovaného čerpání u Opatření IROP v letech 2018, 2019, 2020, 2021 a 2022.  </w:t>
      </w:r>
      <w:r w:rsidR="00CD3B34">
        <w:t xml:space="preserve">Zároveň byla v souladu s požadavkem ŘO </w:t>
      </w:r>
      <w:proofErr w:type="spellStart"/>
      <w:r w:rsidR="00CD3B34">
        <w:t>IROPu</w:t>
      </w:r>
      <w:proofErr w:type="spellEnd"/>
      <w:r w:rsidR="00CD3B34">
        <w:t xml:space="preserve"> snížena celková alokace na Programový rámec IROP (z důvodu odlišného přepočtu CZK/EUR). </w:t>
      </w:r>
    </w:p>
    <w:p w:rsidR="00AF6302" w:rsidRDefault="00AF6302">
      <w:r>
        <w:t>U monitorovacích indikátorů byly změněny hodnoty indikátorů u následujících Opatření Programového rámce IROP:</w:t>
      </w:r>
    </w:p>
    <w:p w:rsidR="00523156" w:rsidRPr="00E540E0" w:rsidRDefault="00523156" w:rsidP="00523156">
      <w:pPr>
        <w:pStyle w:val="Odstavecseseznamem"/>
        <w:numPr>
          <w:ilvl w:val="0"/>
          <w:numId w:val="1"/>
        </w:numPr>
        <w:rPr>
          <w:szCs w:val="22"/>
        </w:rPr>
      </w:pPr>
      <w:r w:rsidRPr="00E540E0">
        <w:rPr>
          <w:color w:val="000000"/>
          <w:szCs w:val="22"/>
          <w:lang w:eastAsia="cs-CZ"/>
        </w:rPr>
        <w:t>IROP A</w:t>
      </w:r>
    </w:p>
    <w:p w:rsidR="00523156" w:rsidRPr="003E470D" w:rsidRDefault="00523156" w:rsidP="00523156">
      <w:pPr>
        <w:pStyle w:val="Odstavecseseznamem"/>
        <w:numPr>
          <w:ilvl w:val="1"/>
          <w:numId w:val="1"/>
        </w:numPr>
        <w:rPr>
          <w:szCs w:val="22"/>
        </w:rPr>
      </w:pPr>
      <w:r w:rsidRPr="00E540E0">
        <w:rPr>
          <w:color w:val="000000"/>
          <w:szCs w:val="22"/>
          <w:lang w:eastAsia="cs-CZ"/>
        </w:rPr>
        <w:t>6 75 10 Kapacita služeb a sociální práce</w:t>
      </w:r>
    </w:p>
    <w:p w:rsidR="003E470D" w:rsidRPr="00E540E0" w:rsidRDefault="003E470D" w:rsidP="003E470D">
      <w:pPr>
        <w:pStyle w:val="Odstavecseseznamem"/>
        <w:ind w:left="1440"/>
        <w:rPr>
          <w:szCs w:val="22"/>
        </w:rPr>
      </w:pPr>
      <w:r w:rsidRPr="0049191D">
        <w:rPr>
          <w:color w:val="000000"/>
          <w:sz w:val="16"/>
          <w:szCs w:val="16"/>
          <w:lang w:eastAsia="cs-CZ"/>
        </w:rPr>
        <w:t>Výchozí a cílová hodnota byla stanovena na základě podpořených projektů</w:t>
      </w:r>
      <w:r>
        <w:rPr>
          <w:color w:val="000000"/>
          <w:sz w:val="16"/>
          <w:szCs w:val="16"/>
          <w:lang w:eastAsia="cs-CZ"/>
        </w:rPr>
        <w:t xml:space="preserve"> – tedy 21 klientů.</w:t>
      </w:r>
    </w:p>
    <w:p w:rsidR="00523156" w:rsidRPr="003E470D" w:rsidRDefault="00523156" w:rsidP="00523156">
      <w:pPr>
        <w:pStyle w:val="Odstavecseseznamem"/>
        <w:numPr>
          <w:ilvl w:val="1"/>
          <w:numId w:val="1"/>
        </w:numPr>
        <w:rPr>
          <w:szCs w:val="22"/>
        </w:rPr>
      </w:pPr>
      <w:r w:rsidRPr="00E540E0">
        <w:rPr>
          <w:color w:val="000000"/>
          <w:szCs w:val="22"/>
          <w:lang w:eastAsia="cs-CZ"/>
        </w:rPr>
        <w:t>5 54 01 Počet podpořených zázemí pro služby a sociální práci</w:t>
      </w:r>
    </w:p>
    <w:p w:rsidR="003E470D" w:rsidRPr="00E540E0" w:rsidRDefault="003E470D" w:rsidP="003E470D">
      <w:pPr>
        <w:pStyle w:val="Odstavecseseznamem"/>
        <w:ind w:left="1440"/>
        <w:rPr>
          <w:szCs w:val="22"/>
        </w:rPr>
      </w:pPr>
      <w:r w:rsidRPr="0049191D">
        <w:rPr>
          <w:color w:val="000000"/>
          <w:sz w:val="16"/>
          <w:szCs w:val="16"/>
          <w:lang w:eastAsia="cs-CZ"/>
        </w:rPr>
        <w:t>Cílová hodnota stanovena na základě podpořených projektů</w:t>
      </w:r>
      <w:r>
        <w:rPr>
          <w:color w:val="000000"/>
          <w:sz w:val="16"/>
          <w:szCs w:val="16"/>
          <w:lang w:eastAsia="cs-CZ"/>
        </w:rPr>
        <w:t xml:space="preserve"> (2 projekty)</w:t>
      </w:r>
      <w:r w:rsidRPr="0049191D">
        <w:rPr>
          <w:color w:val="000000"/>
          <w:sz w:val="16"/>
          <w:szCs w:val="16"/>
          <w:lang w:eastAsia="cs-CZ"/>
        </w:rPr>
        <w:t>. Jednotkové náklady cca 0,58 mil. Kč na 1 zázemí.</w:t>
      </w:r>
    </w:p>
    <w:p w:rsidR="00523156" w:rsidRPr="003E470D" w:rsidRDefault="00523156" w:rsidP="00523156">
      <w:pPr>
        <w:pStyle w:val="Odstavecseseznamem"/>
        <w:numPr>
          <w:ilvl w:val="1"/>
          <w:numId w:val="1"/>
        </w:numPr>
        <w:rPr>
          <w:szCs w:val="22"/>
        </w:rPr>
      </w:pPr>
      <w:r w:rsidRPr="00E540E0">
        <w:rPr>
          <w:color w:val="000000"/>
          <w:szCs w:val="22"/>
          <w:lang w:eastAsia="cs-CZ"/>
        </w:rPr>
        <w:t>5 54 02 Počet poskytovaných druhů sociálních služeb</w:t>
      </w:r>
    </w:p>
    <w:p w:rsidR="003E470D" w:rsidRPr="00523156" w:rsidRDefault="003E470D" w:rsidP="003E470D">
      <w:pPr>
        <w:pStyle w:val="Odstavecseseznamem"/>
        <w:ind w:left="1440"/>
        <w:rPr>
          <w:szCs w:val="22"/>
        </w:rPr>
      </w:pPr>
      <w:r w:rsidRPr="0049191D">
        <w:rPr>
          <w:color w:val="000000"/>
          <w:sz w:val="16"/>
          <w:szCs w:val="16"/>
          <w:lang w:eastAsia="cs-CZ"/>
        </w:rPr>
        <w:t>Cílová hodnota stanovena na základě podpořených projektů.</w:t>
      </w:r>
      <w:r>
        <w:rPr>
          <w:color w:val="000000"/>
          <w:sz w:val="16"/>
          <w:szCs w:val="16"/>
          <w:lang w:eastAsia="cs-CZ"/>
        </w:rPr>
        <w:t xml:space="preserve"> 2 druhy služeb.</w:t>
      </w:r>
    </w:p>
    <w:p w:rsidR="00AF6302" w:rsidRPr="00E540E0" w:rsidRDefault="00AF6302" w:rsidP="00AF6302">
      <w:pPr>
        <w:pStyle w:val="Odstavecseseznamem"/>
        <w:numPr>
          <w:ilvl w:val="0"/>
          <w:numId w:val="1"/>
        </w:numPr>
        <w:rPr>
          <w:szCs w:val="22"/>
        </w:rPr>
      </w:pPr>
      <w:r w:rsidRPr="00E540E0">
        <w:rPr>
          <w:szCs w:val="22"/>
        </w:rPr>
        <w:t>IROP B</w:t>
      </w:r>
    </w:p>
    <w:p w:rsidR="00AF6302" w:rsidRPr="003E470D" w:rsidRDefault="00AF6302" w:rsidP="00AF6302">
      <w:pPr>
        <w:pStyle w:val="Odstavecseseznamem"/>
        <w:numPr>
          <w:ilvl w:val="1"/>
          <w:numId w:val="1"/>
        </w:numPr>
        <w:rPr>
          <w:szCs w:val="22"/>
        </w:rPr>
      </w:pPr>
      <w:r w:rsidRPr="00E540E0">
        <w:rPr>
          <w:color w:val="000000"/>
          <w:szCs w:val="22"/>
          <w:lang w:eastAsia="cs-CZ"/>
        </w:rPr>
        <w:t>5 01 20 Počet osob využívající zařízení péče o děti do 3 let</w:t>
      </w:r>
    </w:p>
    <w:p w:rsidR="003E470D" w:rsidRPr="00E540E0" w:rsidRDefault="003E470D" w:rsidP="003E470D">
      <w:pPr>
        <w:pStyle w:val="Odstavecseseznamem"/>
        <w:ind w:left="1440"/>
        <w:rPr>
          <w:szCs w:val="22"/>
        </w:rPr>
      </w:pPr>
      <w:r w:rsidRPr="0049191D">
        <w:rPr>
          <w:color w:val="000000"/>
          <w:sz w:val="16"/>
          <w:szCs w:val="16"/>
          <w:lang w:eastAsia="cs-CZ"/>
        </w:rPr>
        <w:t>Na území MAS není realizován, ani připravován žádný záměr týkající se infrastruktury zařízení péče o děti do 3 let, proto je cílová hodnota 0.</w:t>
      </w:r>
    </w:p>
    <w:p w:rsidR="00AF6302" w:rsidRPr="003E470D" w:rsidRDefault="00AF6302" w:rsidP="00AF6302">
      <w:pPr>
        <w:pStyle w:val="Odstavecseseznamem"/>
        <w:numPr>
          <w:ilvl w:val="1"/>
          <w:numId w:val="1"/>
        </w:numPr>
        <w:rPr>
          <w:szCs w:val="22"/>
        </w:rPr>
      </w:pPr>
      <w:r w:rsidRPr="00E540E0">
        <w:rPr>
          <w:color w:val="000000"/>
          <w:szCs w:val="22"/>
          <w:lang w:eastAsia="cs-CZ"/>
        </w:rPr>
        <w:t>5 00 01 Kapacita podporovaných zařízení péče o děti nebo vzdělávacích zařízení</w:t>
      </w:r>
    </w:p>
    <w:p w:rsidR="003E470D" w:rsidRPr="00E540E0" w:rsidRDefault="003E470D" w:rsidP="003E470D">
      <w:pPr>
        <w:pStyle w:val="Odstavecseseznamem"/>
        <w:ind w:left="1440"/>
        <w:rPr>
          <w:szCs w:val="22"/>
        </w:rPr>
      </w:pPr>
      <w:r w:rsidRPr="0049191D">
        <w:rPr>
          <w:color w:val="000000"/>
          <w:sz w:val="16"/>
          <w:szCs w:val="16"/>
          <w:lang w:eastAsia="cs-CZ"/>
        </w:rPr>
        <w:t>Cílová hodnota byla stanovena na základě podpořených projektů a projektů v zásobníku, které budou předkládány do další výzvy. Jedná se dohromady o 6 projektů s kapacitami 3*30, 2*25 a 1*20.</w:t>
      </w:r>
      <w:r>
        <w:rPr>
          <w:color w:val="000000"/>
          <w:sz w:val="16"/>
          <w:szCs w:val="16"/>
          <w:lang w:eastAsia="cs-CZ"/>
        </w:rPr>
        <w:t xml:space="preserve"> Proto uvedena hodnota 160.</w:t>
      </w:r>
    </w:p>
    <w:p w:rsidR="00AF6302" w:rsidRPr="003E470D" w:rsidRDefault="00AF6302" w:rsidP="00AF6302">
      <w:pPr>
        <w:pStyle w:val="Odstavecseseznamem"/>
        <w:numPr>
          <w:ilvl w:val="1"/>
          <w:numId w:val="1"/>
        </w:numPr>
        <w:rPr>
          <w:szCs w:val="22"/>
        </w:rPr>
      </w:pPr>
      <w:r w:rsidRPr="00E540E0">
        <w:rPr>
          <w:color w:val="000000"/>
          <w:szCs w:val="22"/>
          <w:lang w:eastAsia="cs-CZ"/>
        </w:rPr>
        <w:t>5 00 00 Počet podpořených vzdělávacích zařízení</w:t>
      </w:r>
    </w:p>
    <w:p w:rsidR="003E470D" w:rsidRPr="00E540E0" w:rsidRDefault="003E470D" w:rsidP="003E470D">
      <w:pPr>
        <w:pStyle w:val="Odstavecseseznamem"/>
        <w:ind w:left="1440"/>
        <w:rPr>
          <w:szCs w:val="22"/>
        </w:rPr>
      </w:pPr>
      <w:r w:rsidRPr="0049191D">
        <w:rPr>
          <w:color w:val="000000"/>
          <w:sz w:val="16"/>
          <w:szCs w:val="16"/>
          <w:lang w:eastAsia="cs-CZ"/>
        </w:rPr>
        <w:t>Stanoveno na základě podpořených projektů a zásobníku projektů. Jednotkové náklady cca 1,</w:t>
      </w:r>
      <w:r>
        <w:rPr>
          <w:color w:val="000000"/>
          <w:sz w:val="16"/>
          <w:szCs w:val="16"/>
          <w:lang w:eastAsia="cs-CZ"/>
        </w:rPr>
        <w:t>7</w:t>
      </w:r>
      <w:r w:rsidRPr="0049191D">
        <w:rPr>
          <w:color w:val="000000"/>
          <w:sz w:val="16"/>
          <w:szCs w:val="16"/>
          <w:lang w:eastAsia="cs-CZ"/>
        </w:rPr>
        <w:t>9 mil. Kč na 1 podpořené zařízení.</w:t>
      </w:r>
      <w:r>
        <w:rPr>
          <w:color w:val="000000"/>
          <w:sz w:val="16"/>
          <w:szCs w:val="16"/>
          <w:lang w:eastAsia="cs-CZ"/>
        </w:rPr>
        <w:t xml:space="preserve"> Zařízení tedy bude předpokládáme šest (tři již z první výzvy, další dva z druhé výzvy).  </w:t>
      </w:r>
    </w:p>
    <w:p w:rsidR="00AF6302" w:rsidRPr="00E540E0" w:rsidRDefault="0090221B" w:rsidP="00AF6302">
      <w:pPr>
        <w:pStyle w:val="Odstavecseseznamem"/>
        <w:numPr>
          <w:ilvl w:val="0"/>
          <w:numId w:val="1"/>
        </w:numPr>
        <w:rPr>
          <w:szCs w:val="22"/>
        </w:rPr>
      </w:pPr>
      <w:r w:rsidRPr="00E540E0">
        <w:rPr>
          <w:szCs w:val="22"/>
        </w:rPr>
        <w:t>IROP C</w:t>
      </w:r>
    </w:p>
    <w:p w:rsidR="0090221B" w:rsidRPr="003E470D" w:rsidRDefault="0090221B" w:rsidP="0090221B">
      <w:pPr>
        <w:pStyle w:val="Odstavecseseznamem"/>
        <w:numPr>
          <w:ilvl w:val="1"/>
          <w:numId w:val="1"/>
        </w:numPr>
        <w:rPr>
          <w:szCs w:val="22"/>
        </w:rPr>
      </w:pPr>
      <w:r w:rsidRPr="00E540E0">
        <w:rPr>
          <w:color w:val="000000"/>
          <w:szCs w:val="22"/>
          <w:lang w:eastAsia="cs-CZ"/>
        </w:rPr>
        <w:t>7 50 01 Počet realizací vedoucích ke zvýšení bezpečnosti v</w:t>
      </w:r>
      <w:r w:rsidR="003E470D">
        <w:rPr>
          <w:color w:val="000000"/>
          <w:szCs w:val="22"/>
          <w:lang w:eastAsia="cs-CZ"/>
        </w:rPr>
        <w:t> </w:t>
      </w:r>
      <w:r w:rsidRPr="00E540E0">
        <w:rPr>
          <w:color w:val="000000"/>
          <w:szCs w:val="22"/>
          <w:lang w:eastAsia="cs-CZ"/>
        </w:rPr>
        <w:t>dopravě</w:t>
      </w:r>
    </w:p>
    <w:p w:rsidR="003E470D" w:rsidRPr="00E540E0" w:rsidRDefault="003E470D" w:rsidP="003E470D">
      <w:pPr>
        <w:pStyle w:val="Odstavecseseznamem"/>
        <w:ind w:left="1440"/>
        <w:rPr>
          <w:szCs w:val="22"/>
        </w:rPr>
      </w:pPr>
      <w:r w:rsidRPr="0049191D">
        <w:rPr>
          <w:color w:val="000000"/>
          <w:sz w:val="16"/>
          <w:szCs w:val="16"/>
          <w:lang w:eastAsia="cs-CZ"/>
        </w:rPr>
        <w:t>Stanoveno na základě realizovaných projektů a zásobníku projektů. Jednotkové náklady cca 1,93 mil. Kč/1 realizaci</w:t>
      </w:r>
      <w:r>
        <w:rPr>
          <w:color w:val="000000"/>
          <w:sz w:val="16"/>
          <w:szCs w:val="16"/>
          <w:lang w:eastAsia="cs-CZ"/>
        </w:rPr>
        <w:t xml:space="preserve"> – 4 projekty.</w:t>
      </w:r>
      <w:bookmarkStart w:id="10" w:name="_GoBack"/>
      <w:bookmarkEnd w:id="10"/>
    </w:p>
    <w:p w:rsidR="00E540E0" w:rsidRPr="00E540E0" w:rsidRDefault="00E540E0" w:rsidP="00E540E0">
      <w:pPr>
        <w:rPr>
          <w:szCs w:val="22"/>
        </w:rPr>
      </w:pPr>
    </w:p>
    <w:p w:rsidR="00A8655D" w:rsidRPr="00A8655D" w:rsidRDefault="00A8655D" w:rsidP="00A8655D">
      <w:pPr>
        <w:tabs>
          <w:tab w:val="left" w:pos="1695"/>
        </w:tabs>
      </w:pPr>
    </w:p>
    <w:sectPr w:rsidR="00A8655D" w:rsidRPr="00A8655D" w:rsidSect="006B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5442"/>
    <w:multiLevelType w:val="hybridMultilevel"/>
    <w:tmpl w:val="468E4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5D"/>
    <w:rsid w:val="00210B90"/>
    <w:rsid w:val="002D4F8A"/>
    <w:rsid w:val="003E470D"/>
    <w:rsid w:val="00412D69"/>
    <w:rsid w:val="00523156"/>
    <w:rsid w:val="005A4C2B"/>
    <w:rsid w:val="006B70E4"/>
    <w:rsid w:val="007402DC"/>
    <w:rsid w:val="0090221B"/>
    <w:rsid w:val="00903052"/>
    <w:rsid w:val="009800D4"/>
    <w:rsid w:val="00A740D8"/>
    <w:rsid w:val="00A8655D"/>
    <w:rsid w:val="00AF6302"/>
    <w:rsid w:val="00C702AF"/>
    <w:rsid w:val="00CD3B34"/>
    <w:rsid w:val="00E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42F9"/>
  <w15:docId w15:val="{74FF005F-2E67-490F-A582-14F1B82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655D"/>
    <w:pPr>
      <w:suppressAutoHyphens/>
      <w:spacing w:before="200" w:line="240" w:lineRule="auto"/>
      <w:jc w:val="both"/>
    </w:pPr>
    <w:rPr>
      <w:rFonts w:ascii="Calibri" w:eastAsia="Times New Roman" w:hAnsi="Calibri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86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8655D"/>
    <w:pPr>
      <w:suppressAutoHyphens w:val="0"/>
      <w:spacing w:before="240" w:after="60"/>
      <w:jc w:val="center"/>
      <w:outlineLvl w:val="0"/>
    </w:pPr>
    <w:rPr>
      <w:b/>
      <w:bCs/>
      <w:smallCaps/>
      <w:color w:val="404040"/>
      <w:kern w:val="28"/>
      <w:sz w:val="48"/>
      <w:szCs w:val="32"/>
    </w:rPr>
  </w:style>
  <w:style w:type="character" w:customStyle="1" w:styleId="NzevChar">
    <w:name w:val="Název Char"/>
    <w:basedOn w:val="Standardnpsmoodstavce"/>
    <w:link w:val="Nzev"/>
    <w:rsid w:val="00A8655D"/>
    <w:rPr>
      <w:rFonts w:ascii="Calibri" w:eastAsia="Times New Roman" w:hAnsi="Calibri" w:cs="Times New Roman"/>
      <w:b/>
      <w:bCs/>
      <w:smallCaps/>
      <w:color w:val="404040"/>
      <w:kern w:val="28"/>
      <w:sz w:val="48"/>
      <w:szCs w:val="32"/>
      <w:lang w:eastAsia="ar-SA"/>
    </w:rPr>
  </w:style>
  <w:style w:type="paragraph" w:styleId="Podnadpis">
    <w:name w:val="Subtitle"/>
    <w:basedOn w:val="Nzev"/>
    <w:next w:val="Normln"/>
    <w:link w:val="PodnadpisChar"/>
    <w:uiPriority w:val="11"/>
    <w:qFormat/>
    <w:rsid w:val="00A8655D"/>
    <w:pPr>
      <w:outlineLvl w:val="1"/>
    </w:pPr>
    <w:rPr>
      <w:b w:val="0"/>
    </w:rPr>
  </w:style>
  <w:style w:type="character" w:customStyle="1" w:styleId="PodnadpisChar">
    <w:name w:val="Podnadpis Char"/>
    <w:basedOn w:val="Standardnpsmoodstavce"/>
    <w:link w:val="Podnadpis"/>
    <w:uiPriority w:val="11"/>
    <w:rsid w:val="00A8655D"/>
    <w:rPr>
      <w:rFonts w:ascii="Calibri" w:eastAsia="Times New Roman" w:hAnsi="Calibri" w:cs="Times New Roman"/>
      <w:bCs/>
      <w:smallCaps/>
      <w:color w:val="404040"/>
      <w:kern w:val="28"/>
      <w:sz w:val="48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65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55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A86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AF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Mareš</dc:creator>
  <cp:keywords/>
  <dc:description/>
  <cp:lastModifiedBy>liba</cp:lastModifiedBy>
  <cp:revision>2</cp:revision>
  <dcterms:created xsi:type="dcterms:W3CDTF">2019-07-15T11:01:00Z</dcterms:created>
  <dcterms:modified xsi:type="dcterms:W3CDTF">2019-07-15T11:01:00Z</dcterms:modified>
</cp:coreProperties>
</file>